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EA26" w14:textId="77777777" w:rsidR="00755A9F" w:rsidRPr="00755A9F" w:rsidRDefault="00755A9F" w:rsidP="00755A9F">
      <w:pPr>
        <w:rPr>
          <w:lang w:val="it-IT"/>
        </w:rPr>
      </w:pPr>
      <w:r w:rsidRPr="00755A9F">
        <w:rPr>
          <w:lang w:val="it-IT"/>
        </w:rPr>
        <w:t>12 novembre 2021</w:t>
      </w:r>
    </w:p>
    <w:p w14:paraId="7C9FA65E" w14:textId="77777777" w:rsidR="00755A9F" w:rsidRPr="00755A9F" w:rsidRDefault="00755A9F" w:rsidP="00755A9F">
      <w:pPr>
        <w:rPr>
          <w:lang w:val="it-IT"/>
        </w:rPr>
      </w:pPr>
    </w:p>
    <w:p w14:paraId="13BE59F0" w14:textId="77777777" w:rsidR="00755A9F" w:rsidRPr="00755A9F" w:rsidRDefault="00755A9F" w:rsidP="00755A9F">
      <w:pPr>
        <w:rPr>
          <w:sz w:val="28"/>
          <w:szCs w:val="28"/>
          <w:lang w:val="it-IT"/>
        </w:rPr>
      </w:pPr>
      <w:r w:rsidRPr="00755A9F">
        <w:rPr>
          <w:sz w:val="28"/>
          <w:szCs w:val="28"/>
          <w:lang w:val="it-IT"/>
        </w:rPr>
        <w:t>Trasporto sostenibile per il prossimo decennio:</w:t>
      </w:r>
    </w:p>
    <w:p w14:paraId="088D1459" w14:textId="77777777" w:rsidR="00755A9F" w:rsidRPr="00DD4B31" w:rsidRDefault="00755A9F" w:rsidP="00755A9F">
      <w:pPr>
        <w:rPr>
          <w:b/>
          <w:bCs/>
          <w:sz w:val="38"/>
          <w:szCs w:val="38"/>
        </w:rPr>
      </w:pPr>
      <w:r>
        <w:rPr>
          <w:b/>
          <w:bCs/>
          <w:sz w:val="36"/>
          <w:szCs w:val="36"/>
        </w:rPr>
        <w:t xml:space="preserve">Scania sempre più leader </w:t>
      </w:r>
    </w:p>
    <w:p w14:paraId="27524ABD" w14:textId="77777777" w:rsidR="00755A9F" w:rsidRPr="001A250C" w:rsidRDefault="00755A9F" w:rsidP="00755A9F"/>
    <w:p w14:paraId="1B09F52D" w14:textId="77777777"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 xml:space="preserve">Scania presenta una gamma innovativa di motori da 13 litri compatibili con i biocarburanti che offrono la migliore economia operativa totale in modo sostenibile </w:t>
      </w:r>
    </w:p>
    <w:p w14:paraId="680F81E2" w14:textId="77777777"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L’investimento di 2 miliardi di euro ha permesso di realizzare un risparmio di carburante di almeno l’8% grazie all’innovativa catena cinematica con nuovi motori, cambi e differenziali</w:t>
      </w:r>
    </w:p>
    <w:p w14:paraId="35F6A055" w14:textId="77777777"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 xml:space="preserve">Forse la piattaforma per motori a combustione per veicoli industriali pesanti più avanzata di sempre, che confermerà la posizione premium di Scania </w:t>
      </w:r>
    </w:p>
    <w:p w14:paraId="51719F90" w14:textId="28F70A02"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Le prestazioni superiori del doppio albero a camme e lo Scania Twin SCR contribuiscono a realizzare gli obiettivi di Scania approvati da Science Based Target</w:t>
      </w:r>
      <w:r w:rsidR="00540464">
        <w:rPr>
          <w:sz w:val="24"/>
          <w:szCs w:val="24"/>
          <w:lang w:val="it-IT"/>
        </w:rPr>
        <w:t>s</w:t>
      </w:r>
    </w:p>
    <w:p w14:paraId="0F034A7B" w14:textId="77777777"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Compression Release Breake per prestazioni di frenata migliorate</w:t>
      </w:r>
    </w:p>
    <w:p w14:paraId="0C4D0B22" w14:textId="77777777" w:rsidR="00755A9F" w:rsidRPr="00755A9F" w:rsidRDefault="00755A9F" w:rsidP="00755A9F">
      <w:pPr>
        <w:pStyle w:val="Titolo1"/>
        <w:numPr>
          <w:ilvl w:val="0"/>
          <w:numId w:val="15"/>
        </w:numPr>
        <w:spacing w:before="0" w:after="0"/>
        <w:rPr>
          <w:sz w:val="24"/>
          <w:szCs w:val="24"/>
          <w:lang w:val="it-IT"/>
        </w:rPr>
      </w:pPr>
      <w:r w:rsidRPr="00755A9F">
        <w:rPr>
          <w:sz w:val="24"/>
          <w:szCs w:val="24"/>
          <w:lang w:val="it-IT"/>
        </w:rPr>
        <w:t>Incremento del 30% della della vita utile dei componenti; miglioramento degli intervalli di manutenzione flessibili basati sui dati operativi e integrabili da Scania ProCare con sostituzioni preventive dei componenti</w:t>
      </w:r>
    </w:p>
    <w:p w14:paraId="02B0BE8B" w14:textId="77777777" w:rsidR="00755A9F" w:rsidRPr="00755A9F" w:rsidRDefault="00755A9F" w:rsidP="00755A9F">
      <w:pPr>
        <w:rPr>
          <w:lang w:val="it-IT"/>
        </w:rPr>
      </w:pPr>
    </w:p>
    <w:p w14:paraId="518A8DE5" w14:textId="7363FA36" w:rsidR="00755A9F" w:rsidRPr="00755A9F" w:rsidRDefault="00755A9F" w:rsidP="00755A9F">
      <w:pPr>
        <w:rPr>
          <w:b/>
          <w:bCs/>
          <w:lang w:val="it-IT"/>
        </w:rPr>
      </w:pPr>
      <w:r w:rsidRPr="00755A9F">
        <w:rPr>
          <w:b/>
          <w:bCs/>
          <w:lang w:val="it-IT"/>
        </w:rPr>
        <w:t xml:space="preserve">La nuova gamma di motori Scania è una piattaforma completamente nuova che il reparto di Ricerca e Sviluppo di Scania ha sviluppato da zero nel corso di cinque anni. La nuova piattaforma motori è il risultato di un investimento totale di oltre due miliardi di euro. La nuova gamma permetterà ai </w:t>
      </w:r>
      <w:r w:rsidR="00540464">
        <w:rPr>
          <w:b/>
          <w:bCs/>
          <w:lang w:val="it-IT"/>
        </w:rPr>
        <w:t>C</w:t>
      </w:r>
      <w:r w:rsidRPr="00755A9F">
        <w:rPr>
          <w:b/>
          <w:bCs/>
          <w:lang w:val="it-IT"/>
        </w:rPr>
        <w:t>lienti che utilizzano i motori a combustione interna Scania, una grande efficienza dei consumi, unita alla possibilità di utilizzare biocarburanti. Ciò si traduce in una riduzione delle emissioni di CO</w:t>
      </w:r>
      <w:r w:rsidRPr="00755A9F">
        <w:rPr>
          <w:b/>
          <w:bCs/>
          <w:vertAlign w:val="subscript"/>
          <w:lang w:val="it-IT"/>
        </w:rPr>
        <w:t>2</w:t>
      </w:r>
      <w:r w:rsidRPr="00755A9F">
        <w:rPr>
          <w:b/>
          <w:bCs/>
          <w:lang w:val="it-IT"/>
        </w:rPr>
        <w:t xml:space="preserve"> a livelli mai visti prima. I nuovi motori si prestano a numerose applicazioni e offrono un contributo essenziale alla transizione verso il trasporto senza carburanti fossili. </w:t>
      </w:r>
    </w:p>
    <w:p w14:paraId="4B727B43" w14:textId="77777777" w:rsidR="00755A9F" w:rsidRPr="00755A9F" w:rsidRDefault="00755A9F" w:rsidP="00755A9F">
      <w:pPr>
        <w:rPr>
          <w:b/>
          <w:bCs/>
          <w:lang w:val="it-IT"/>
        </w:rPr>
      </w:pPr>
      <w:r w:rsidRPr="00755A9F">
        <w:rPr>
          <w:b/>
          <w:bCs/>
          <w:lang w:val="it-IT"/>
        </w:rPr>
        <w:t xml:space="preserve">  </w:t>
      </w:r>
    </w:p>
    <w:p w14:paraId="01EF877F" w14:textId="22A0E492" w:rsidR="00755A9F" w:rsidRPr="00755A9F" w:rsidRDefault="00755A9F" w:rsidP="00755A9F">
      <w:pPr>
        <w:rPr>
          <w:lang w:val="it-IT"/>
        </w:rPr>
      </w:pPr>
      <w:r w:rsidRPr="00755A9F">
        <w:rPr>
          <w:lang w:val="it-IT"/>
        </w:rPr>
        <w:t xml:space="preserve">“Questi nuovi motori offrono al mercato una novità eccezionale”, afferma Stefan Dorski, Senior Vice President, Head of Scania Trucks. “Sono la dimostrazione che in Scania teniamo fede alla nostra missione, sia in termini di attenzione al </w:t>
      </w:r>
      <w:r w:rsidR="00540464">
        <w:rPr>
          <w:lang w:val="it-IT"/>
        </w:rPr>
        <w:t>C</w:t>
      </w:r>
      <w:r w:rsidRPr="00755A9F">
        <w:rPr>
          <w:lang w:val="it-IT"/>
        </w:rPr>
        <w:t>liente sia in materia di sostenibilità, con i Science Based Target</w:t>
      </w:r>
      <w:r w:rsidR="00540464">
        <w:rPr>
          <w:lang w:val="it-IT"/>
        </w:rPr>
        <w:t>s</w:t>
      </w:r>
      <w:r w:rsidRPr="00755A9F">
        <w:rPr>
          <w:lang w:val="it-IT"/>
        </w:rPr>
        <w:t xml:space="preserve"> che ci impegniamo a raggiungere. </w:t>
      </w:r>
      <w:r w:rsidR="00540464">
        <w:rPr>
          <w:lang w:val="it-IT"/>
        </w:rPr>
        <w:t>Almeno l</w:t>
      </w:r>
      <w:r w:rsidRPr="00755A9F">
        <w:rPr>
          <w:lang w:val="it-IT"/>
        </w:rPr>
        <w:t>’8% di risparmio carburante offerto dalla nuova catena cinematica cambia le carte in tavola per il nostro settore.”</w:t>
      </w:r>
    </w:p>
    <w:p w14:paraId="5D2DB18E" w14:textId="77777777" w:rsidR="00755A9F" w:rsidRPr="00755A9F" w:rsidRDefault="00755A9F" w:rsidP="00755A9F">
      <w:pPr>
        <w:rPr>
          <w:lang w:val="it-IT"/>
        </w:rPr>
      </w:pPr>
    </w:p>
    <w:p w14:paraId="3D018B0D" w14:textId="77777777" w:rsidR="00755A9F" w:rsidRPr="00755A9F" w:rsidRDefault="00755A9F" w:rsidP="00755A9F">
      <w:pPr>
        <w:rPr>
          <w:i/>
          <w:iCs/>
          <w:sz w:val="20"/>
          <w:szCs w:val="20"/>
          <w:lang w:val="it-IT"/>
        </w:rPr>
      </w:pPr>
      <w:r w:rsidRPr="00755A9F">
        <w:rPr>
          <w:lang w:val="it-IT"/>
        </w:rPr>
        <w:t>L’efficienza termica dei nuovi motori è del 50%, valori mai raggiunti nella storia dei motori a combustione. Alla base di queste impressionanti prestazioni ci sono una progettazione ingegnosa e l’utilizzo di tecnologie come i doppi alberi a camme superiori e il doppio dosaggio dell’AdBlue dello Scania Twin SCR. Potenti sistemi di gestione del motore monitorano la catena cinematica, contribuendo all’economia operativa totale in tutte le condizioni.</w:t>
      </w:r>
      <w:r w:rsidRPr="00755A9F">
        <w:rPr>
          <w:i/>
          <w:iCs/>
          <w:sz w:val="20"/>
          <w:szCs w:val="20"/>
          <w:lang w:val="it-IT"/>
        </w:rPr>
        <w:br/>
      </w:r>
      <w:r w:rsidRPr="00755A9F">
        <w:rPr>
          <w:i/>
          <w:iCs/>
          <w:sz w:val="20"/>
          <w:szCs w:val="20"/>
          <w:lang w:val="it-IT"/>
        </w:rPr>
        <w:br/>
      </w:r>
      <w:r w:rsidRPr="00755A9F">
        <w:rPr>
          <w:i/>
          <w:iCs/>
          <w:sz w:val="20"/>
          <w:szCs w:val="20"/>
          <w:lang w:val="it-IT"/>
        </w:rPr>
        <w:br/>
      </w:r>
      <w:r w:rsidRPr="00755A9F">
        <w:rPr>
          <w:i/>
          <w:iCs/>
          <w:sz w:val="20"/>
          <w:szCs w:val="20"/>
          <w:lang w:val="it-IT"/>
        </w:rPr>
        <w:br/>
      </w:r>
      <w:r w:rsidRPr="00755A9F">
        <w:rPr>
          <w:i/>
          <w:iCs/>
          <w:sz w:val="20"/>
          <w:szCs w:val="20"/>
          <w:lang w:val="it-IT"/>
        </w:rPr>
        <w:lastRenderedPageBreak/>
        <w:br/>
      </w:r>
      <w:r w:rsidRPr="00755A9F">
        <w:rPr>
          <w:i/>
          <w:iCs/>
          <w:sz w:val="20"/>
          <w:szCs w:val="20"/>
          <w:lang w:val="it-IT"/>
        </w:rPr>
        <w:br/>
      </w:r>
      <w:r w:rsidRPr="00755A9F">
        <w:rPr>
          <w:i/>
          <w:iCs/>
          <w:sz w:val="20"/>
          <w:szCs w:val="20"/>
          <w:lang w:val="it-IT"/>
        </w:rPr>
        <w:br/>
      </w:r>
      <w:r w:rsidRPr="00755A9F">
        <w:rPr>
          <w:i/>
          <w:iCs/>
          <w:sz w:val="20"/>
          <w:szCs w:val="20"/>
          <w:lang w:val="it-IT"/>
        </w:rPr>
        <w:br/>
      </w:r>
      <w:r>
        <w:rPr>
          <w:b/>
          <w:bCs/>
          <w:noProof/>
          <w:lang w:val="en-US" w:eastAsia="en-US"/>
        </w:rPr>
        <w:drawing>
          <wp:anchor distT="0" distB="0" distL="114300" distR="114300" simplePos="0" relativeHeight="251659264" behindDoc="0" locked="0" layoutInCell="1" allowOverlap="1" wp14:anchorId="11FC80D6" wp14:editId="1EE75302">
            <wp:simplePos x="0" y="0"/>
            <wp:positionH relativeFrom="margin">
              <wp:align>left</wp:align>
            </wp:positionH>
            <wp:positionV relativeFrom="paragraph">
              <wp:posOffset>19050</wp:posOffset>
            </wp:positionV>
            <wp:extent cx="2448560" cy="1682750"/>
            <wp:effectExtent l="19050" t="19050" r="27940" b="12700"/>
            <wp:wrapSquare wrapText="bothSides"/>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16827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755A9F">
        <w:rPr>
          <w:i/>
          <w:iCs/>
          <w:sz w:val="20"/>
          <w:szCs w:val="20"/>
          <w:lang w:val="it-IT"/>
        </w:rPr>
        <w:t>La nuova gamma di motori di Scania introduce tecnologia d’avanguardia e rendimenti eccezionali nel settore dei trasporti. Con i nuovi motori, Scania manterrà la sua posizione premium per il resto di questo decennio. L’autocarro più efficiente diventa ancora più efficiente.</w:t>
      </w:r>
    </w:p>
    <w:p w14:paraId="7F4042DE" w14:textId="77777777" w:rsidR="00755A9F" w:rsidRPr="00DF5250" w:rsidRDefault="00755A9F" w:rsidP="00755A9F">
      <w:pPr>
        <w:pStyle w:val="Brdtxt"/>
        <w:widowControl/>
        <w:spacing w:line="240" w:lineRule="atLeast"/>
        <w:ind w:right="0"/>
        <w:rPr>
          <w:b/>
          <w:bCs/>
        </w:rPr>
      </w:pPr>
    </w:p>
    <w:p w14:paraId="5F5233FC" w14:textId="77777777" w:rsidR="00755A9F" w:rsidRDefault="00755A9F" w:rsidP="00755A9F">
      <w:pPr>
        <w:pStyle w:val="Brdtxt"/>
        <w:widowControl/>
        <w:spacing w:line="240" w:lineRule="atLeast"/>
        <w:ind w:right="0"/>
        <w:rPr>
          <w:b/>
          <w:bCs/>
        </w:rPr>
      </w:pPr>
    </w:p>
    <w:p w14:paraId="0787B852" w14:textId="77777777" w:rsidR="00755A9F" w:rsidRDefault="00755A9F" w:rsidP="00755A9F">
      <w:pPr>
        <w:pStyle w:val="Brdtxt"/>
        <w:widowControl/>
        <w:spacing w:line="240" w:lineRule="atLeast"/>
        <w:ind w:right="0"/>
        <w:rPr>
          <w:b/>
          <w:bCs/>
        </w:rPr>
      </w:pPr>
    </w:p>
    <w:p w14:paraId="7CB6DA0F" w14:textId="77777777" w:rsidR="00755A9F" w:rsidRDefault="00755A9F" w:rsidP="00755A9F">
      <w:pPr>
        <w:pStyle w:val="Brdtxt"/>
        <w:widowControl/>
        <w:spacing w:line="240" w:lineRule="atLeast"/>
        <w:ind w:right="0"/>
      </w:pPr>
      <w:r>
        <w:rPr>
          <w:b/>
          <w:bCs/>
        </w:rPr>
        <w:t>“</w:t>
      </w:r>
      <w:r>
        <w:t>Se vogliamo migliorare il sistema dei trasporti in tempo per soddisfare gli obiettivi dell’Accordo di Parigi, il cambiamento deve avvenire adesso”, afferma Dorski. “Per questo Scania si è impegnata nello sviluppo di veicoli con motori a combustione interna sempre più efficienti e sostiene l’implementazione di biocarburanti da fonti rinnovabili. Inoltre, per realizzare gli obiettivi di sostenibilità, è necessario continuare a investire nelle aree di innovazione, come l'elettrificazione della nostra azienda e dell’intero settore.”</w:t>
      </w:r>
    </w:p>
    <w:p w14:paraId="0DD85B1A" w14:textId="77777777" w:rsidR="00755A9F" w:rsidRPr="00DF5250" w:rsidRDefault="00755A9F" w:rsidP="00755A9F">
      <w:pPr>
        <w:pStyle w:val="Brdtxt"/>
        <w:widowControl/>
        <w:spacing w:line="240" w:lineRule="atLeast"/>
        <w:ind w:right="0"/>
      </w:pPr>
    </w:p>
    <w:p w14:paraId="402BAC6B" w14:textId="77777777" w:rsidR="00755A9F" w:rsidRPr="000E5253" w:rsidRDefault="00755A9F" w:rsidP="00755A9F">
      <w:pPr>
        <w:pStyle w:val="Brdtxt"/>
        <w:widowControl/>
        <w:spacing w:after="120" w:line="240" w:lineRule="atLeast"/>
        <w:ind w:right="0"/>
        <w:rPr>
          <w:b/>
          <w:bCs/>
        </w:rPr>
      </w:pPr>
      <w:r>
        <w:rPr>
          <w:b/>
          <w:bCs/>
        </w:rPr>
        <w:t xml:space="preserve">Sempre più vicini a un trasporto senza carburanti fossili   </w:t>
      </w:r>
    </w:p>
    <w:p w14:paraId="668252A5" w14:textId="77777777" w:rsidR="00755A9F" w:rsidRPr="00755A9F" w:rsidRDefault="00755A9F" w:rsidP="00755A9F">
      <w:pPr>
        <w:rPr>
          <w:lang w:val="it-IT"/>
        </w:rPr>
      </w:pPr>
      <w:r w:rsidRPr="00755A9F">
        <w:rPr>
          <w:lang w:val="it-IT"/>
        </w:rPr>
        <w:t>Inizialmente la nuova gamma sarà prodotta con quattro diversi livelli di potenza per l’Euro 6: 420, 460, 500 e 560 CV, che la rendono adatta a molte applicazioni. Insieme ai nuovi cambi Scania Opticruise (G25 e G33, quest’ultimo già presentato nel 2020) e a una nuova gamma di differenziali Scania, è possibile realizzare risparmi di carburante almeno dell’8% in applicazioni come trasporti di merci generiche e a temperatura controllata. Tutti i motori possono essere alimentati con HVO e le versioni da 460 e 500 CV possono essere predisposti per l’utilizzo al 100% con biodiesel da fonti rinnovabili.</w:t>
      </w:r>
    </w:p>
    <w:p w14:paraId="30A9729D" w14:textId="77777777" w:rsidR="00755A9F" w:rsidRPr="00755A9F" w:rsidRDefault="00755A9F" w:rsidP="00755A9F">
      <w:pPr>
        <w:rPr>
          <w:lang w:val="it-IT" w:eastAsia="sv-SE"/>
        </w:rPr>
      </w:pPr>
    </w:p>
    <w:p w14:paraId="6F9EAF5F" w14:textId="6DE30D19" w:rsidR="00755A9F" w:rsidRPr="00755A9F" w:rsidRDefault="00755A9F" w:rsidP="00755A9F">
      <w:pPr>
        <w:rPr>
          <w:lang w:val="it-IT"/>
        </w:rPr>
      </w:pPr>
      <w:r w:rsidRPr="00755A9F">
        <w:rPr>
          <w:lang w:val="it-IT"/>
        </w:rPr>
        <w:t xml:space="preserve">“Un </w:t>
      </w:r>
      <w:r w:rsidR="00A70A3A">
        <w:rPr>
          <w:lang w:val="it-IT"/>
        </w:rPr>
        <w:t>C</w:t>
      </w:r>
      <w:r w:rsidRPr="00755A9F">
        <w:rPr>
          <w:lang w:val="it-IT"/>
        </w:rPr>
        <w:t>liente Scania che utilizza un autocarro con un motore da 500 CV vedrà una riduzione drastica della spesa per il carburante, anche in confronto alla generazione di motori già leader di settore che stiamo sostituendo”, spiega Dorski. “I nuovi motori eccellono per molte caratteristiche, ma personalmente ritengo che l’aspetto più importante sia la riduzione immediata delle emissioni di CO</w:t>
      </w:r>
      <w:r w:rsidRPr="00755A9F">
        <w:rPr>
          <w:vertAlign w:val="subscript"/>
          <w:lang w:val="it-IT"/>
        </w:rPr>
        <w:t>2</w:t>
      </w:r>
      <w:r w:rsidRPr="00755A9F">
        <w:rPr>
          <w:lang w:val="it-IT"/>
        </w:rPr>
        <w:t>. I nostri nuovi motori contribuiranno fin da subito alla decarbonizzazione.”</w:t>
      </w:r>
    </w:p>
    <w:p w14:paraId="35BAD483" w14:textId="77777777" w:rsidR="00755A9F" w:rsidRPr="00755A9F" w:rsidRDefault="00755A9F" w:rsidP="00755A9F">
      <w:pPr>
        <w:spacing w:line="360" w:lineRule="auto"/>
        <w:rPr>
          <w:rStyle w:val="Collegamentoipertestuale"/>
          <w:lang w:val="it-IT"/>
        </w:rPr>
      </w:pPr>
    </w:p>
    <w:p w14:paraId="5B7768F3" w14:textId="77777777" w:rsidR="00755A9F" w:rsidRPr="00755A9F" w:rsidRDefault="00755A9F" w:rsidP="00755A9F">
      <w:pPr>
        <w:rPr>
          <w:b/>
          <w:bCs/>
          <w:sz w:val="32"/>
          <w:szCs w:val="32"/>
          <w:lang w:val="it-IT"/>
        </w:rPr>
      </w:pPr>
      <w:r w:rsidRPr="00755A9F">
        <w:rPr>
          <w:b/>
          <w:bCs/>
          <w:sz w:val="32"/>
          <w:szCs w:val="32"/>
          <w:lang w:val="it-IT"/>
        </w:rPr>
        <w:br w:type="page"/>
      </w:r>
    </w:p>
    <w:p w14:paraId="0F02176F" w14:textId="77777777" w:rsidR="00755A9F" w:rsidRPr="00755A9F" w:rsidRDefault="00755A9F" w:rsidP="00755A9F">
      <w:pPr>
        <w:spacing w:line="360" w:lineRule="auto"/>
        <w:rPr>
          <w:b/>
          <w:bCs/>
          <w:sz w:val="32"/>
          <w:szCs w:val="32"/>
          <w:lang w:val="it-IT"/>
        </w:rPr>
      </w:pPr>
      <w:r w:rsidRPr="00755A9F">
        <w:rPr>
          <w:b/>
          <w:bCs/>
          <w:sz w:val="32"/>
          <w:szCs w:val="32"/>
          <w:lang w:val="it-IT"/>
        </w:rPr>
        <w:lastRenderedPageBreak/>
        <w:t>La nuova gamma di motori Scania da 13 litri: dati tecnici</w:t>
      </w:r>
    </w:p>
    <w:p w14:paraId="5E49B90A" w14:textId="77777777" w:rsidR="00755A9F" w:rsidRPr="00755A9F" w:rsidRDefault="00755A9F" w:rsidP="00755A9F">
      <w:pPr>
        <w:spacing w:line="360" w:lineRule="auto"/>
        <w:rPr>
          <w:lang w:val="it-IT"/>
        </w:rPr>
      </w:pPr>
    </w:p>
    <w:tbl>
      <w:tblPr>
        <w:tblW w:w="48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70" w:type="dxa"/>
          <w:bottom w:w="28" w:type="dxa"/>
          <w:right w:w="70" w:type="dxa"/>
        </w:tblCellMar>
        <w:tblLook w:val="0000" w:firstRow="0" w:lastRow="0" w:firstColumn="0" w:lastColumn="0" w:noHBand="0" w:noVBand="0"/>
      </w:tblPr>
      <w:tblGrid>
        <w:gridCol w:w="1979"/>
        <w:gridCol w:w="1700"/>
        <w:gridCol w:w="1707"/>
        <w:gridCol w:w="1704"/>
        <w:gridCol w:w="1702"/>
      </w:tblGrid>
      <w:tr w:rsidR="00755A9F" w:rsidRPr="00A00B83" w14:paraId="20DDE781" w14:textId="77777777" w:rsidTr="009D5BB9">
        <w:trPr>
          <w:cantSplit/>
          <w:tblHeader/>
        </w:trPr>
        <w:tc>
          <w:tcPr>
            <w:tcW w:w="1125" w:type="pct"/>
            <w:tcBorders>
              <w:top w:val="nil"/>
              <w:left w:val="nil"/>
              <w:right w:val="single" w:sz="4" w:space="0" w:color="auto"/>
            </w:tcBorders>
          </w:tcPr>
          <w:p w14:paraId="4D4CABEB" w14:textId="77777777" w:rsidR="00755A9F" w:rsidRPr="00755A9F" w:rsidRDefault="00755A9F" w:rsidP="009D5BB9">
            <w:pPr>
              <w:keepNext/>
              <w:spacing w:line="200" w:lineRule="atLeast"/>
              <w:rPr>
                <w:i/>
                <w:color w:val="000000"/>
                <w:sz w:val="18"/>
                <w:szCs w:val="18"/>
                <w:lang w:val="it-IT"/>
              </w:rPr>
            </w:pPr>
          </w:p>
        </w:tc>
        <w:tc>
          <w:tcPr>
            <w:tcW w:w="967" w:type="pct"/>
            <w:tcBorders>
              <w:top w:val="single" w:sz="4" w:space="0" w:color="auto"/>
              <w:left w:val="single" w:sz="4" w:space="0" w:color="auto"/>
              <w:bottom w:val="single" w:sz="6" w:space="0" w:color="auto"/>
              <w:right w:val="single" w:sz="4" w:space="0" w:color="auto"/>
            </w:tcBorders>
            <w:textDirection w:val="lrTbV"/>
          </w:tcPr>
          <w:p w14:paraId="116C36CF" w14:textId="77777777" w:rsidR="00755A9F" w:rsidRPr="00A00B83" w:rsidRDefault="00755A9F" w:rsidP="009D5BB9">
            <w:pPr>
              <w:keepNext/>
              <w:spacing w:line="200" w:lineRule="atLeast"/>
              <w:jc w:val="center"/>
              <w:rPr>
                <w:b/>
                <w:bCs/>
                <w:iCs/>
                <w:sz w:val="20"/>
                <w:szCs w:val="20"/>
              </w:rPr>
            </w:pPr>
            <w:r>
              <w:rPr>
                <w:b/>
                <w:bCs/>
                <w:sz w:val="20"/>
                <w:szCs w:val="20"/>
              </w:rPr>
              <w:t>DC13 176</w:t>
            </w:r>
          </w:p>
          <w:p w14:paraId="7F7F4DE8" w14:textId="77777777" w:rsidR="00755A9F" w:rsidRPr="00A00B83" w:rsidRDefault="00755A9F" w:rsidP="009D5BB9">
            <w:pPr>
              <w:keepNext/>
              <w:spacing w:line="200" w:lineRule="atLeast"/>
              <w:jc w:val="center"/>
              <w:rPr>
                <w:iCs/>
                <w:sz w:val="18"/>
                <w:szCs w:val="18"/>
              </w:rPr>
            </w:pPr>
            <w:r>
              <w:rPr>
                <w:b/>
                <w:bCs/>
                <w:sz w:val="20"/>
                <w:szCs w:val="20"/>
              </w:rPr>
              <w:t>420 CV</w:t>
            </w:r>
          </w:p>
        </w:tc>
        <w:tc>
          <w:tcPr>
            <w:tcW w:w="971" w:type="pct"/>
            <w:tcBorders>
              <w:top w:val="single" w:sz="4" w:space="0" w:color="auto"/>
              <w:left w:val="single" w:sz="4" w:space="0" w:color="auto"/>
              <w:bottom w:val="single" w:sz="6" w:space="0" w:color="auto"/>
              <w:right w:val="single" w:sz="4" w:space="0" w:color="auto"/>
            </w:tcBorders>
            <w:textDirection w:val="lrTbV"/>
          </w:tcPr>
          <w:p w14:paraId="51DCABA6" w14:textId="77777777" w:rsidR="00755A9F" w:rsidRPr="00A00B83" w:rsidRDefault="00755A9F" w:rsidP="009D5BB9">
            <w:pPr>
              <w:keepNext/>
              <w:spacing w:line="200" w:lineRule="atLeast"/>
              <w:jc w:val="center"/>
              <w:rPr>
                <w:b/>
                <w:bCs/>
                <w:iCs/>
                <w:sz w:val="20"/>
                <w:szCs w:val="20"/>
              </w:rPr>
            </w:pPr>
            <w:r>
              <w:rPr>
                <w:b/>
                <w:bCs/>
                <w:sz w:val="20"/>
                <w:szCs w:val="20"/>
              </w:rPr>
              <w:t>DC13 175**</w:t>
            </w:r>
          </w:p>
          <w:p w14:paraId="19B1EE93" w14:textId="77777777" w:rsidR="00755A9F" w:rsidRPr="00A00B83" w:rsidRDefault="00755A9F" w:rsidP="009D5BB9">
            <w:pPr>
              <w:keepNext/>
              <w:spacing w:line="200" w:lineRule="atLeast"/>
              <w:jc w:val="center"/>
              <w:rPr>
                <w:b/>
                <w:bCs/>
                <w:iCs/>
                <w:sz w:val="18"/>
                <w:szCs w:val="18"/>
              </w:rPr>
            </w:pPr>
            <w:r>
              <w:rPr>
                <w:b/>
                <w:bCs/>
                <w:sz w:val="20"/>
                <w:szCs w:val="20"/>
              </w:rPr>
              <w:t>460 CV</w:t>
            </w:r>
          </w:p>
        </w:tc>
        <w:tc>
          <w:tcPr>
            <w:tcW w:w="969" w:type="pct"/>
            <w:tcBorders>
              <w:top w:val="single" w:sz="4" w:space="0" w:color="auto"/>
              <w:left w:val="single" w:sz="4" w:space="0" w:color="auto"/>
              <w:right w:val="single" w:sz="4" w:space="0" w:color="auto"/>
            </w:tcBorders>
            <w:textDirection w:val="lrTbV"/>
          </w:tcPr>
          <w:p w14:paraId="5A1A4D20" w14:textId="77777777" w:rsidR="00755A9F" w:rsidRPr="00A00B83" w:rsidRDefault="00755A9F" w:rsidP="009D5BB9">
            <w:pPr>
              <w:keepNext/>
              <w:spacing w:line="200" w:lineRule="atLeast"/>
              <w:jc w:val="center"/>
              <w:rPr>
                <w:b/>
                <w:bCs/>
                <w:iCs/>
                <w:sz w:val="20"/>
                <w:szCs w:val="20"/>
              </w:rPr>
            </w:pPr>
            <w:r>
              <w:rPr>
                <w:b/>
                <w:bCs/>
                <w:sz w:val="20"/>
                <w:szCs w:val="20"/>
              </w:rPr>
              <w:t>DC13 174**</w:t>
            </w:r>
          </w:p>
          <w:p w14:paraId="3E0DA8A8" w14:textId="77777777" w:rsidR="00755A9F" w:rsidRPr="00A00B83" w:rsidRDefault="00755A9F" w:rsidP="009D5BB9">
            <w:pPr>
              <w:keepNext/>
              <w:spacing w:line="200" w:lineRule="atLeast"/>
              <w:jc w:val="center"/>
              <w:rPr>
                <w:b/>
                <w:bCs/>
                <w:iCs/>
                <w:sz w:val="18"/>
                <w:szCs w:val="18"/>
              </w:rPr>
            </w:pPr>
            <w:r>
              <w:rPr>
                <w:b/>
                <w:bCs/>
                <w:sz w:val="20"/>
                <w:szCs w:val="20"/>
              </w:rPr>
              <w:t>500 CV</w:t>
            </w:r>
          </w:p>
        </w:tc>
        <w:tc>
          <w:tcPr>
            <w:tcW w:w="968" w:type="pct"/>
            <w:tcBorders>
              <w:top w:val="single" w:sz="4" w:space="0" w:color="auto"/>
              <w:left w:val="single" w:sz="4" w:space="0" w:color="auto"/>
              <w:right w:val="single" w:sz="4" w:space="0" w:color="auto"/>
            </w:tcBorders>
            <w:textDirection w:val="lrTbV"/>
          </w:tcPr>
          <w:p w14:paraId="2D0BFB51" w14:textId="77777777" w:rsidR="00755A9F" w:rsidRPr="00A00B83" w:rsidRDefault="00755A9F" w:rsidP="009D5BB9">
            <w:pPr>
              <w:keepNext/>
              <w:spacing w:line="200" w:lineRule="atLeast"/>
              <w:jc w:val="center"/>
              <w:rPr>
                <w:b/>
                <w:bCs/>
                <w:iCs/>
                <w:sz w:val="20"/>
                <w:szCs w:val="20"/>
              </w:rPr>
            </w:pPr>
            <w:r>
              <w:rPr>
                <w:b/>
                <w:bCs/>
                <w:sz w:val="20"/>
                <w:szCs w:val="20"/>
              </w:rPr>
              <w:t>DC13 173</w:t>
            </w:r>
          </w:p>
          <w:p w14:paraId="3FB51470" w14:textId="77777777" w:rsidR="00755A9F" w:rsidRPr="00A00B83" w:rsidRDefault="00755A9F" w:rsidP="009D5BB9">
            <w:pPr>
              <w:keepNext/>
              <w:spacing w:line="200" w:lineRule="atLeast"/>
              <w:jc w:val="center"/>
              <w:rPr>
                <w:b/>
                <w:bCs/>
                <w:iCs/>
                <w:sz w:val="18"/>
                <w:szCs w:val="18"/>
              </w:rPr>
            </w:pPr>
            <w:r>
              <w:rPr>
                <w:b/>
                <w:bCs/>
                <w:sz w:val="20"/>
                <w:szCs w:val="20"/>
              </w:rPr>
              <w:t>560 CV</w:t>
            </w:r>
          </w:p>
        </w:tc>
      </w:tr>
      <w:tr w:rsidR="00755A9F" w:rsidRPr="00A00B83" w14:paraId="56C14706" w14:textId="77777777" w:rsidTr="009D5BB9">
        <w:trPr>
          <w:cantSplit/>
        </w:trPr>
        <w:tc>
          <w:tcPr>
            <w:tcW w:w="1125" w:type="pct"/>
            <w:tcBorders>
              <w:left w:val="single" w:sz="4" w:space="0" w:color="auto"/>
            </w:tcBorders>
          </w:tcPr>
          <w:p w14:paraId="7C06F908" w14:textId="77777777" w:rsidR="00755A9F" w:rsidRPr="00A00B83" w:rsidRDefault="00755A9F" w:rsidP="009D5BB9">
            <w:pPr>
              <w:keepNext/>
              <w:spacing w:line="200" w:lineRule="atLeast"/>
              <w:jc w:val="center"/>
              <w:rPr>
                <w:sz w:val="18"/>
                <w:szCs w:val="18"/>
              </w:rPr>
            </w:pPr>
            <w:r>
              <w:rPr>
                <w:sz w:val="18"/>
                <w:szCs w:val="18"/>
              </w:rPr>
              <w:t>Tipo</w:t>
            </w:r>
          </w:p>
        </w:tc>
        <w:tc>
          <w:tcPr>
            <w:tcW w:w="3875" w:type="pct"/>
            <w:gridSpan w:val="4"/>
          </w:tcPr>
          <w:p w14:paraId="328C9873" w14:textId="77777777" w:rsidR="00755A9F" w:rsidRPr="00A00B83" w:rsidRDefault="00755A9F" w:rsidP="009D5BB9">
            <w:pPr>
              <w:jc w:val="center"/>
              <w:rPr>
                <w:sz w:val="20"/>
                <w:szCs w:val="20"/>
              </w:rPr>
            </w:pPr>
            <w:r>
              <w:rPr>
                <w:sz w:val="20"/>
                <w:szCs w:val="20"/>
              </w:rPr>
              <w:t>In linea</w:t>
            </w:r>
          </w:p>
        </w:tc>
      </w:tr>
      <w:tr w:rsidR="00755A9F" w:rsidRPr="00A00B83" w14:paraId="4B959DD8" w14:textId="77777777" w:rsidTr="009D5BB9">
        <w:trPr>
          <w:cantSplit/>
        </w:trPr>
        <w:tc>
          <w:tcPr>
            <w:tcW w:w="1125" w:type="pct"/>
            <w:tcBorders>
              <w:left w:val="single" w:sz="4" w:space="0" w:color="auto"/>
            </w:tcBorders>
          </w:tcPr>
          <w:p w14:paraId="4FCE8373" w14:textId="77777777" w:rsidR="00755A9F" w:rsidRPr="00A00B83" w:rsidRDefault="00755A9F" w:rsidP="009D5BB9">
            <w:pPr>
              <w:keepNext/>
              <w:spacing w:line="200" w:lineRule="atLeast"/>
              <w:jc w:val="center"/>
              <w:rPr>
                <w:sz w:val="18"/>
                <w:szCs w:val="18"/>
              </w:rPr>
            </w:pPr>
            <w:r>
              <w:rPr>
                <w:sz w:val="18"/>
                <w:szCs w:val="18"/>
              </w:rPr>
              <w:t>Portata</w:t>
            </w:r>
          </w:p>
        </w:tc>
        <w:tc>
          <w:tcPr>
            <w:tcW w:w="3875" w:type="pct"/>
            <w:gridSpan w:val="4"/>
          </w:tcPr>
          <w:p w14:paraId="4095BD8D" w14:textId="77777777" w:rsidR="00755A9F" w:rsidRPr="00A00B83" w:rsidRDefault="00755A9F" w:rsidP="009D5BB9">
            <w:pPr>
              <w:jc w:val="center"/>
              <w:rPr>
                <w:sz w:val="20"/>
                <w:szCs w:val="20"/>
              </w:rPr>
            </w:pPr>
            <w:r>
              <w:rPr>
                <w:sz w:val="20"/>
                <w:szCs w:val="20"/>
              </w:rPr>
              <w:t>12,74 litri</w:t>
            </w:r>
          </w:p>
        </w:tc>
      </w:tr>
      <w:tr w:rsidR="00755A9F" w:rsidRPr="00A00B83" w14:paraId="1FB7EF16" w14:textId="77777777" w:rsidTr="009D5BB9">
        <w:trPr>
          <w:cantSplit/>
        </w:trPr>
        <w:tc>
          <w:tcPr>
            <w:tcW w:w="1125" w:type="pct"/>
            <w:tcBorders>
              <w:left w:val="single" w:sz="4" w:space="0" w:color="auto"/>
            </w:tcBorders>
          </w:tcPr>
          <w:p w14:paraId="45D53638" w14:textId="77777777" w:rsidR="00755A9F" w:rsidRPr="00A00B83" w:rsidRDefault="00755A9F" w:rsidP="009D5BB9">
            <w:pPr>
              <w:keepNext/>
              <w:spacing w:line="200" w:lineRule="atLeast"/>
              <w:jc w:val="center"/>
              <w:rPr>
                <w:sz w:val="18"/>
                <w:szCs w:val="18"/>
              </w:rPr>
            </w:pPr>
            <w:r>
              <w:rPr>
                <w:sz w:val="18"/>
                <w:szCs w:val="18"/>
              </w:rPr>
              <w:t>Ordine di accensione</w:t>
            </w:r>
          </w:p>
        </w:tc>
        <w:tc>
          <w:tcPr>
            <w:tcW w:w="3875" w:type="pct"/>
            <w:gridSpan w:val="4"/>
          </w:tcPr>
          <w:p w14:paraId="1F8DD883" w14:textId="77777777" w:rsidR="00755A9F" w:rsidRPr="00A00B83" w:rsidRDefault="00755A9F" w:rsidP="009D5BB9">
            <w:pPr>
              <w:jc w:val="center"/>
              <w:rPr>
                <w:sz w:val="20"/>
                <w:szCs w:val="20"/>
              </w:rPr>
            </w:pPr>
            <w:r>
              <w:rPr>
                <w:sz w:val="20"/>
                <w:szCs w:val="20"/>
              </w:rPr>
              <w:t>1-5-3-6-2-4</w:t>
            </w:r>
          </w:p>
        </w:tc>
      </w:tr>
      <w:tr w:rsidR="00755A9F" w:rsidRPr="00A00B83" w14:paraId="3752C110" w14:textId="77777777" w:rsidTr="009D5BB9">
        <w:trPr>
          <w:cantSplit/>
        </w:trPr>
        <w:tc>
          <w:tcPr>
            <w:tcW w:w="1125" w:type="pct"/>
            <w:tcBorders>
              <w:left w:val="single" w:sz="4" w:space="0" w:color="auto"/>
            </w:tcBorders>
          </w:tcPr>
          <w:p w14:paraId="6E5BDC22" w14:textId="77777777" w:rsidR="00755A9F" w:rsidRPr="00A00B83" w:rsidRDefault="00755A9F" w:rsidP="009D5BB9">
            <w:pPr>
              <w:keepNext/>
              <w:spacing w:line="200" w:lineRule="atLeast"/>
              <w:jc w:val="center"/>
              <w:rPr>
                <w:sz w:val="18"/>
                <w:szCs w:val="18"/>
              </w:rPr>
            </w:pPr>
            <w:r>
              <w:rPr>
                <w:sz w:val="18"/>
                <w:szCs w:val="18"/>
              </w:rPr>
              <w:t>Cilindri</w:t>
            </w:r>
          </w:p>
        </w:tc>
        <w:tc>
          <w:tcPr>
            <w:tcW w:w="3875" w:type="pct"/>
            <w:gridSpan w:val="4"/>
          </w:tcPr>
          <w:p w14:paraId="5518E695" w14:textId="77777777" w:rsidR="00755A9F" w:rsidRPr="00A00B83" w:rsidRDefault="00755A9F" w:rsidP="009D5BB9">
            <w:pPr>
              <w:jc w:val="center"/>
              <w:rPr>
                <w:sz w:val="20"/>
                <w:szCs w:val="20"/>
              </w:rPr>
            </w:pPr>
            <w:r>
              <w:rPr>
                <w:sz w:val="20"/>
                <w:szCs w:val="20"/>
              </w:rPr>
              <w:t>6</w:t>
            </w:r>
          </w:p>
        </w:tc>
      </w:tr>
      <w:tr w:rsidR="00755A9F" w:rsidRPr="00A00B83" w14:paraId="7B51F54E" w14:textId="77777777" w:rsidTr="009D5BB9">
        <w:trPr>
          <w:cantSplit/>
        </w:trPr>
        <w:tc>
          <w:tcPr>
            <w:tcW w:w="1125" w:type="pct"/>
            <w:tcBorders>
              <w:left w:val="single" w:sz="4" w:space="0" w:color="auto"/>
            </w:tcBorders>
          </w:tcPr>
          <w:p w14:paraId="7CC561F8" w14:textId="77777777" w:rsidR="00755A9F" w:rsidRPr="00A00B83" w:rsidRDefault="00755A9F" w:rsidP="009D5BB9">
            <w:pPr>
              <w:keepNext/>
              <w:spacing w:line="200" w:lineRule="atLeast"/>
              <w:jc w:val="center"/>
              <w:rPr>
                <w:sz w:val="18"/>
                <w:szCs w:val="18"/>
              </w:rPr>
            </w:pPr>
            <w:r>
              <w:rPr>
                <w:sz w:val="18"/>
                <w:szCs w:val="18"/>
              </w:rPr>
              <w:t>Valvole per cilindro</w:t>
            </w:r>
          </w:p>
        </w:tc>
        <w:tc>
          <w:tcPr>
            <w:tcW w:w="3875" w:type="pct"/>
            <w:gridSpan w:val="4"/>
          </w:tcPr>
          <w:p w14:paraId="3B4C5B29" w14:textId="77777777" w:rsidR="00755A9F" w:rsidRPr="00A00B83" w:rsidRDefault="00755A9F" w:rsidP="009D5BB9">
            <w:pPr>
              <w:keepNext/>
              <w:spacing w:line="200" w:lineRule="atLeast"/>
              <w:jc w:val="center"/>
              <w:rPr>
                <w:sz w:val="20"/>
                <w:szCs w:val="20"/>
              </w:rPr>
            </w:pPr>
            <w:r>
              <w:rPr>
                <w:sz w:val="20"/>
                <w:szCs w:val="20"/>
              </w:rPr>
              <w:t>4</w:t>
            </w:r>
          </w:p>
        </w:tc>
      </w:tr>
      <w:tr w:rsidR="00755A9F" w:rsidRPr="00A00B83" w14:paraId="48483E2C" w14:textId="77777777" w:rsidTr="009D5BB9">
        <w:trPr>
          <w:cantSplit/>
        </w:trPr>
        <w:tc>
          <w:tcPr>
            <w:tcW w:w="1125" w:type="pct"/>
            <w:tcBorders>
              <w:left w:val="single" w:sz="4" w:space="0" w:color="auto"/>
            </w:tcBorders>
          </w:tcPr>
          <w:p w14:paraId="123CA122" w14:textId="77777777" w:rsidR="00755A9F" w:rsidRPr="00A00B83" w:rsidRDefault="00755A9F" w:rsidP="009D5BB9">
            <w:pPr>
              <w:keepNext/>
              <w:spacing w:line="200" w:lineRule="atLeast"/>
              <w:jc w:val="center"/>
              <w:rPr>
                <w:sz w:val="18"/>
                <w:szCs w:val="18"/>
              </w:rPr>
            </w:pPr>
            <w:r>
              <w:rPr>
                <w:sz w:val="18"/>
                <w:szCs w:val="18"/>
              </w:rPr>
              <w:t>Alesaggio per corsa</w:t>
            </w:r>
          </w:p>
        </w:tc>
        <w:tc>
          <w:tcPr>
            <w:tcW w:w="3875" w:type="pct"/>
            <w:gridSpan w:val="4"/>
          </w:tcPr>
          <w:p w14:paraId="3AFE4921" w14:textId="77777777" w:rsidR="00755A9F" w:rsidRPr="00A00B83" w:rsidRDefault="00755A9F" w:rsidP="009D5BB9">
            <w:pPr>
              <w:jc w:val="center"/>
              <w:rPr>
                <w:sz w:val="20"/>
                <w:szCs w:val="20"/>
              </w:rPr>
            </w:pPr>
            <w:r>
              <w:rPr>
                <w:sz w:val="20"/>
                <w:szCs w:val="20"/>
              </w:rPr>
              <w:t>130 x 160 mm</w:t>
            </w:r>
          </w:p>
        </w:tc>
      </w:tr>
      <w:tr w:rsidR="00755A9F" w:rsidRPr="00A00B83" w14:paraId="183E6D41" w14:textId="77777777" w:rsidTr="009D5BB9">
        <w:trPr>
          <w:cantSplit/>
        </w:trPr>
        <w:tc>
          <w:tcPr>
            <w:tcW w:w="1125" w:type="pct"/>
            <w:tcBorders>
              <w:left w:val="single" w:sz="4" w:space="0" w:color="auto"/>
            </w:tcBorders>
          </w:tcPr>
          <w:p w14:paraId="1685E6E4" w14:textId="77777777" w:rsidR="00755A9F" w:rsidRPr="00A00B83" w:rsidRDefault="00755A9F" w:rsidP="009D5BB9">
            <w:pPr>
              <w:keepNext/>
              <w:spacing w:line="200" w:lineRule="atLeast"/>
              <w:jc w:val="center"/>
              <w:rPr>
                <w:sz w:val="18"/>
                <w:szCs w:val="18"/>
              </w:rPr>
            </w:pPr>
            <w:r>
              <w:rPr>
                <w:sz w:val="18"/>
                <w:szCs w:val="18"/>
              </w:rPr>
              <w:t>Tipo di camma</w:t>
            </w:r>
          </w:p>
        </w:tc>
        <w:tc>
          <w:tcPr>
            <w:tcW w:w="3875" w:type="pct"/>
            <w:gridSpan w:val="4"/>
          </w:tcPr>
          <w:p w14:paraId="29F7888E" w14:textId="77777777" w:rsidR="00755A9F" w:rsidRPr="00A00B83" w:rsidRDefault="00755A9F" w:rsidP="009D5BB9">
            <w:pPr>
              <w:jc w:val="center"/>
              <w:rPr>
                <w:sz w:val="20"/>
                <w:szCs w:val="20"/>
              </w:rPr>
            </w:pPr>
            <w:r>
              <w:rPr>
                <w:sz w:val="20"/>
                <w:szCs w:val="20"/>
              </w:rPr>
              <w:t>DOHC</w:t>
            </w:r>
          </w:p>
        </w:tc>
      </w:tr>
      <w:tr w:rsidR="00755A9F" w:rsidRPr="00A00B83" w14:paraId="3384467D" w14:textId="77777777" w:rsidTr="009D5BB9">
        <w:trPr>
          <w:cantSplit/>
        </w:trPr>
        <w:tc>
          <w:tcPr>
            <w:tcW w:w="1125" w:type="pct"/>
            <w:tcBorders>
              <w:left w:val="single" w:sz="4" w:space="0" w:color="auto"/>
            </w:tcBorders>
          </w:tcPr>
          <w:p w14:paraId="2DF21CE6" w14:textId="77777777" w:rsidR="00755A9F" w:rsidRPr="00A00B83" w:rsidRDefault="00755A9F" w:rsidP="009D5BB9">
            <w:pPr>
              <w:keepNext/>
              <w:spacing w:line="200" w:lineRule="atLeast"/>
              <w:jc w:val="center"/>
              <w:rPr>
                <w:sz w:val="18"/>
                <w:szCs w:val="18"/>
              </w:rPr>
            </w:pPr>
            <w:r>
              <w:rPr>
                <w:sz w:val="18"/>
                <w:szCs w:val="18"/>
              </w:rPr>
              <w:t>Compressione</w:t>
            </w:r>
          </w:p>
        </w:tc>
        <w:tc>
          <w:tcPr>
            <w:tcW w:w="3875" w:type="pct"/>
            <w:gridSpan w:val="4"/>
            <w:tcBorders>
              <w:left w:val="single" w:sz="4" w:space="0" w:color="auto"/>
            </w:tcBorders>
          </w:tcPr>
          <w:p w14:paraId="3C4B6591" w14:textId="77777777" w:rsidR="00755A9F" w:rsidRPr="00A00B83" w:rsidRDefault="00755A9F" w:rsidP="009D5BB9">
            <w:pPr>
              <w:keepNext/>
              <w:spacing w:line="200" w:lineRule="atLeast"/>
              <w:jc w:val="center"/>
              <w:rPr>
                <w:sz w:val="20"/>
                <w:szCs w:val="20"/>
              </w:rPr>
            </w:pPr>
            <w:r>
              <w:rPr>
                <w:sz w:val="20"/>
                <w:szCs w:val="20"/>
              </w:rPr>
              <w:t>23:1</w:t>
            </w:r>
          </w:p>
        </w:tc>
      </w:tr>
      <w:tr w:rsidR="00755A9F" w:rsidRPr="00A00B83" w14:paraId="54BDC9F7" w14:textId="77777777" w:rsidTr="009D5BB9">
        <w:trPr>
          <w:cantSplit/>
        </w:trPr>
        <w:tc>
          <w:tcPr>
            <w:tcW w:w="1125" w:type="pct"/>
            <w:tcBorders>
              <w:left w:val="single" w:sz="4" w:space="0" w:color="auto"/>
              <w:bottom w:val="single" w:sz="6" w:space="0" w:color="auto"/>
            </w:tcBorders>
          </w:tcPr>
          <w:p w14:paraId="749108F1" w14:textId="77777777" w:rsidR="00755A9F" w:rsidRPr="00A00B83" w:rsidRDefault="00755A9F" w:rsidP="009D5BB9">
            <w:pPr>
              <w:keepNext/>
              <w:spacing w:line="200" w:lineRule="atLeast"/>
              <w:jc w:val="center"/>
              <w:rPr>
                <w:sz w:val="18"/>
                <w:szCs w:val="18"/>
              </w:rPr>
            </w:pPr>
            <w:r>
              <w:rPr>
                <w:sz w:val="18"/>
                <w:szCs w:val="18"/>
              </w:rPr>
              <w:t>Iniezione di carburante</w:t>
            </w:r>
          </w:p>
        </w:tc>
        <w:tc>
          <w:tcPr>
            <w:tcW w:w="3875" w:type="pct"/>
            <w:gridSpan w:val="4"/>
            <w:tcBorders>
              <w:bottom w:val="single" w:sz="6" w:space="0" w:color="auto"/>
            </w:tcBorders>
          </w:tcPr>
          <w:p w14:paraId="7B10F617" w14:textId="77777777" w:rsidR="00755A9F" w:rsidRPr="00A00B83" w:rsidRDefault="00755A9F" w:rsidP="009D5BB9">
            <w:pPr>
              <w:keepNext/>
              <w:spacing w:line="200" w:lineRule="atLeast"/>
              <w:jc w:val="center"/>
              <w:rPr>
                <w:sz w:val="20"/>
                <w:szCs w:val="20"/>
              </w:rPr>
            </w:pPr>
            <w:r>
              <w:rPr>
                <w:sz w:val="20"/>
                <w:szCs w:val="20"/>
              </w:rPr>
              <w:t>Scania XPI</w:t>
            </w:r>
          </w:p>
        </w:tc>
      </w:tr>
      <w:tr w:rsidR="00755A9F" w:rsidRPr="00A00B83" w14:paraId="2EB9DE71" w14:textId="77777777" w:rsidTr="009D5BB9">
        <w:trPr>
          <w:cantSplit/>
        </w:trPr>
        <w:tc>
          <w:tcPr>
            <w:tcW w:w="1125" w:type="pct"/>
            <w:tcBorders>
              <w:left w:val="single" w:sz="4" w:space="0" w:color="auto"/>
              <w:bottom w:val="single" w:sz="4" w:space="0" w:color="auto"/>
            </w:tcBorders>
          </w:tcPr>
          <w:p w14:paraId="0FF9DB14" w14:textId="77777777" w:rsidR="00755A9F" w:rsidRPr="00A00B83" w:rsidRDefault="00755A9F" w:rsidP="009D5BB9">
            <w:pPr>
              <w:keepNext/>
              <w:spacing w:line="200" w:lineRule="atLeast"/>
              <w:jc w:val="center"/>
              <w:rPr>
                <w:sz w:val="18"/>
                <w:szCs w:val="18"/>
              </w:rPr>
            </w:pPr>
            <w:r>
              <w:rPr>
                <w:sz w:val="18"/>
                <w:szCs w:val="18"/>
              </w:rPr>
              <w:t>Controllo delle emissioni</w:t>
            </w:r>
          </w:p>
        </w:tc>
        <w:tc>
          <w:tcPr>
            <w:tcW w:w="3875" w:type="pct"/>
            <w:gridSpan w:val="4"/>
            <w:tcBorders>
              <w:bottom w:val="single" w:sz="4" w:space="0" w:color="auto"/>
            </w:tcBorders>
          </w:tcPr>
          <w:p w14:paraId="7F5659A4" w14:textId="77777777" w:rsidR="00755A9F" w:rsidRPr="00A00B83" w:rsidRDefault="00755A9F" w:rsidP="009D5BB9">
            <w:pPr>
              <w:jc w:val="center"/>
              <w:rPr>
                <w:sz w:val="20"/>
                <w:szCs w:val="20"/>
              </w:rPr>
            </w:pPr>
            <w:r>
              <w:rPr>
                <w:sz w:val="20"/>
                <w:szCs w:val="20"/>
              </w:rPr>
              <w:t>Scania Twin SCR</w:t>
            </w:r>
          </w:p>
        </w:tc>
      </w:tr>
      <w:tr w:rsidR="00755A9F" w:rsidRPr="00A00B83" w14:paraId="61A6356A" w14:textId="77777777" w:rsidTr="009D5BB9">
        <w:trPr>
          <w:cantSplit/>
        </w:trPr>
        <w:tc>
          <w:tcPr>
            <w:tcW w:w="1125" w:type="pct"/>
            <w:tcBorders>
              <w:left w:val="single" w:sz="4" w:space="0" w:color="auto"/>
              <w:bottom w:val="single" w:sz="4" w:space="0" w:color="auto"/>
            </w:tcBorders>
          </w:tcPr>
          <w:p w14:paraId="2B976440" w14:textId="77777777" w:rsidR="00755A9F" w:rsidRPr="00A00B83" w:rsidRDefault="00755A9F" w:rsidP="009D5BB9">
            <w:pPr>
              <w:keepNext/>
              <w:spacing w:line="200" w:lineRule="atLeast"/>
              <w:jc w:val="center"/>
              <w:rPr>
                <w:sz w:val="18"/>
                <w:szCs w:val="18"/>
              </w:rPr>
            </w:pPr>
            <w:r>
              <w:rPr>
                <w:sz w:val="18"/>
                <w:szCs w:val="18"/>
              </w:rPr>
              <w:t>Freno motore</w:t>
            </w:r>
          </w:p>
        </w:tc>
        <w:tc>
          <w:tcPr>
            <w:tcW w:w="3875" w:type="pct"/>
            <w:gridSpan w:val="4"/>
            <w:tcBorders>
              <w:bottom w:val="single" w:sz="4" w:space="0" w:color="auto"/>
            </w:tcBorders>
          </w:tcPr>
          <w:p w14:paraId="69EDC4DD" w14:textId="77777777" w:rsidR="00755A9F" w:rsidRPr="00A00B83" w:rsidRDefault="00755A9F" w:rsidP="009D5BB9">
            <w:pPr>
              <w:jc w:val="center"/>
              <w:rPr>
                <w:sz w:val="20"/>
                <w:szCs w:val="20"/>
              </w:rPr>
            </w:pPr>
            <w:r>
              <w:rPr>
                <w:sz w:val="20"/>
                <w:szCs w:val="20"/>
              </w:rPr>
              <w:t>200 kW a 2400 giri/min</w:t>
            </w:r>
          </w:p>
        </w:tc>
      </w:tr>
      <w:tr w:rsidR="00755A9F" w:rsidRPr="00A00B83" w14:paraId="7EA78693" w14:textId="77777777" w:rsidTr="009D5BB9">
        <w:trPr>
          <w:cantSplit/>
        </w:trPr>
        <w:tc>
          <w:tcPr>
            <w:tcW w:w="1125" w:type="pct"/>
            <w:tcBorders>
              <w:left w:val="single" w:sz="4" w:space="0" w:color="auto"/>
              <w:bottom w:val="single" w:sz="4" w:space="0" w:color="auto"/>
            </w:tcBorders>
          </w:tcPr>
          <w:p w14:paraId="405C0943" w14:textId="77777777" w:rsidR="00755A9F" w:rsidRPr="00A00B83" w:rsidRDefault="00755A9F" w:rsidP="009D5BB9">
            <w:pPr>
              <w:keepNext/>
              <w:spacing w:line="200" w:lineRule="atLeast"/>
              <w:jc w:val="center"/>
              <w:rPr>
                <w:sz w:val="18"/>
                <w:szCs w:val="18"/>
              </w:rPr>
            </w:pPr>
            <w:r>
              <w:rPr>
                <w:sz w:val="18"/>
                <w:szCs w:val="18"/>
              </w:rPr>
              <w:t>CRB (opzionale)</w:t>
            </w:r>
          </w:p>
        </w:tc>
        <w:tc>
          <w:tcPr>
            <w:tcW w:w="1937" w:type="pct"/>
            <w:gridSpan w:val="2"/>
            <w:tcBorders>
              <w:bottom w:val="single" w:sz="4" w:space="0" w:color="auto"/>
            </w:tcBorders>
          </w:tcPr>
          <w:p w14:paraId="25DC1C71" w14:textId="77777777" w:rsidR="00755A9F" w:rsidRPr="00A00B83" w:rsidRDefault="00755A9F" w:rsidP="009D5BB9">
            <w:pPr>
              <w:jc w:val="center"/>
              <w:rPr>
                <w:sz w:val="20"/>
                <w:szCs w:val="20"/>
              </w:rPr>
            </w:pPr>
            <w:r>
              <w:rPr>
                <w:sz w:val="20"/>
                <w:szCs w:val="20"/>
              </w:rPr>
              <w:t>343 kW a 2400 giri/min</w:t>
            </w:r>
          </w:p>
        </w:tc>
        <w:tc>
          <w:tcPr>
            <w:tcW w:w="1938" w:type="pct"/>
            <w:gridSpan w:val="2"/>
            <w:tcBorders>
              <w:bottom w:val="single" w:sz="4" w:space="0" w:color="auto"/>
            </w:tcBorders>
          </w:tcPr>
          <w:p w14:paraId="083BF15F" w14:textId="77777777" w:rsidR="00755A9F" w:rsidRPr="00A00B83" w:rsidRDefault="00755A9F" w:rsidP="009D5BB9">
            <w:pPr>
              <w:jc w:val="center"/>
              <w:rPr>
                <w:sz w:val="20"/>
                <w:szCs w:val="20"/>
              </w:rPr>
            </w:pPr>
            <w:r>
              <w:rPr>
                <w:sz w:val="20"/>
                <w:szCs w:val="20"/>
              </w:rPr>
              <w:t>354 kW a 2400 giri/min</w:t>
            </w:r>
          </w:p>
        </w:tc>
      </w:tr>
      <w:tr w:rsidR="00755A9F" w:rsidRPr="00A00B83" w14:paraId="2FCD2E50" w14:textId="77777777" w:rsidTr="009D5BB9">
        <w:trPr>
          <w:cantSplit/>
        </w:trPr>
        <w:tc>
          <w:tcPr>
            <w:tcW w:w="1125" w:type="pct"/>
            <w:tcBorders>
              <w:left w:val="single" w:sz="4" w:space="0" w:color="auto"/>
              <w:bottom w:val="single" w:sz="4" w:space="0" w:color="auto"/>
            </w:tcBorders>
          </w:tcPr>
          <w:p w14:paraId="7BE2B706" w14:textId="77777777" w:rsidR="00755A9F" w:rsidRPr="00A00B83" w:rsidRDefault="00755A9F" w:rsidP="009D5BB9">
            <w:pPr>
              <w:keepNext/>
              <w:spacing w:line="200" w:lineRule="atLeast"/>
              <w:jc w:val="center"/>
              <w:rPr>
                <w:sz w:val="18"/>
                <w:szCs w:val="18"/>
              </w:rPr>
            </w:pPr>
            <w:r>
              <w:rPr>
                <w:sz w:val="18"/>
                <w:szCs w:val="18"/>
              </w:rPr>
              <w:t>Capacità olio</w:t>
            </w:r>
          </w:p>
        </w:tc>
        <w:tc>
          <w:tcPr>
            <w:tcW w:w="3875" w:type="pct"/>
            <w:gridSpan w:val="4"/>
            <w:tcBorders>
              <w:bottom w:val="single" w:sz="4" w:space="0" w:color="auto"/>
            </w:tcBorders>
          </w:tcPr>
          <w:p w14:paraId="43946AAC" w14:textId="77777777" w:rsidR="00755A9F" w:rsidRPr="00A00B83" w:rsidRDefault="00755A9F" w:rsidP="009D5BB9">
            <w:pPr>
              <w:jc w:val="center"/>
              <w:rPr>
                <w:sz w:val="20"/>
                <w:szCs w:val="20"/>
              </w:rPr>
            </w:pPr>
            <w:r>
              <w:rPr>
                <w:sz w:val="20"/>
                <w:szCs w:val="20"/>
              </w:rPr>
              <w:t>45 litri</w:t>
            </w:r>
          </w:p>
        </w:tc>
      </w:tr>
      <w:tr w:rsidR="00755A9F" w:rsidRPr="00A00B83" w14:paraId="5A68A528" w14:textId="77777777" w:rsidTr="009D5BB9">
        <w:trPr>
          <w:cantSplit/>
        </w:trPr>
        <w:tc>
          <w:tcPr>
            <w:tcW w:w="1125" w:type="pct"/>
            <w:tcBorders>
              <w:top w:val="single" w:sz="4" w:space="0" w:color="auto"/>
              <w:left w:val="single" w:sz="4" w:space="0" w:color="auto"/>
              <w:bottom w:val="single" w:sz="4" w:space="0" w:color="auto"/>
            </w:tcBorders>
          </w:tcPr>
          <w:p w14:paraId="6D768721" w14:textId="77777777" w:rsidR="00755A9F" w:rsidRPr="00A00B83" w:rsidRDefault="00755A9F" w:rsidP="009D5BB9">
            <w:pPr>
              <w:spacing w:line="200" w:lineRule="atLeast"/>
              <w:jc w:val="center"/>
              <w:rPr>
                <w:sz w:val="18"/>
                <w:szCs w:val="18"/>
              </w:rPr>
            </w:pPr>
            <w:r>
              <w:rPr>
                <w:sz w:val="18"/>
                <w:szCs w:val="18"/>
              </w:rPr>
              <w:t>Potenza massima</w:t>
            </w:r>
          </w:p>
        </w:tc>
        <w:tc>
          <w:tcPr>
            <w:tcW w:w="967" w:type="pct"/>
            <w:tcBorders>
              <w:top w:val="single" w:sz="4" w:space="0" w:color="auto"/>
              <w:bottom w:val="single" w:sz="4" w:space="0" w:color="auto"/>
            </w:tcBorders>
          </w:tcPr>
          <w:p w14:paraId="772AF58B" w14:textId="77777777" w:rsidR="00755A9F" w:rsidRPr="00A00B83" w:rsidRDefault="00755A9F" w:rsidP="009D5BB9">
            <w:pPr>
              <w:spacing w:line="200" w:lineRule="atLeast"/>
              <w:jc w:val="center"/>
              <w:rPr>
                <w:sz w:val="20"/>
                <w:szCs w:val="20"/>
              </w:rPr>
            </w:pPr>
            <w:r>
              <w:rPr>
                <w:sz w:val="20"/>
                <w:szCs w:val="20"/>
              </w:rPr>
              <w:t>420 (309 kW) a 1800 giri/min</w:t>
            </w:r>
          </w:p>
        </w:tc>
        <w:tc>
          <w:tcPr>
            <w:tcW w:w="971" w:type="pct"/>
            <w:tcBorders>
              <w:top w:val="single" w:sz="4" w:space="0" w:color="auto"/>
              <w:bottom w:val="single" w:sz="4" w:space="0" w:color="auto"/>
            </w:tcBorders>
          </w:tcPr>
          <w:p w14:paraId="461ADFBD" w14:textId="77777777" w:rsidR="00755A9F" w:rsidRPr="00A00B83" w:rsidRDefault="00755A9F" w:rsidP="009D5BB9">
            <w:pPr>
              <w:spacing w:line="200" w:lineRule="atLeast"/>
              <w:jc w:val="center"/>
              <w:rPr>
                <w:sz w:val="20"/>
                <w:szCs w:val="20"/>
              </w:rPr>
            </w:pPr>
            <w:r>
              <w:rPr>
                <w:sz w:val="20"/>
                <w:szCs w:val="20"/>
              </w:rPr>
              <w:t>460 (338 kW) a 1800 giri/min</w:t>
            </w:r>
          </w:p>
        </w:tc>
        <w:tc>
          <w:tcPr>
            <w:tcW w:w="969" w:type="pct"/>
            <w:tcBorders>
              <w:top w:val="single" w:sz="4" w:space="0" w:color="auto"/>
              <w:bottom w:val="single" w:sz="4" w:space="0" w:color="auto"/>
            </w:tcBorders>
          </w:tcPr>
          <w:p w14:paraId="10063473" w14:textId="77777777" w:rsidR="00755A9F" w:rsidRPr="00A00B83" w:rsidRDefault="00755A9F" w:rsidP="009D5BB9">
            <w:pPr>
              <w:spacing w:line="200" w:lineRule="atLeast"/>
              <w:jc w:val="center"/>
              <w:rPr>
                <w:sz w:val="20"/>
                <w:szCs w:val="20"/>
              </w:rPr>
            </w:pPr>
            <w:r>
              <w:rPr>
                <w:sz w:val="20"/>
                <w:szCs w:val="20"/>
              </w:rPr>
              <w:t>500 (368) kW) a 1800 giri/min</w:t>
            </w:r>
          </w:p>
        </w:tc>
        <w:tc>
          <w:tcPr>
            <w:tcW w:w="968" w:type="pct"/>
            <w:tcBorders>
              <w:top w:val="single" w:sz="4" w:space="0" w:color="auto"/>
              <w:bottom w:val="single" w:sz="4" w:space="0" w:color="auto"/>
            </w:tcBorders>
          </w:tcPr>
          <w:p w14:paraId="5916CAA3" w14:textId="77777777" w:rsidR="00755A9F" w:rsidRPr="00A00B83" w:rsidRDefault="00755A9F" w:rsidP="009D5BB9">
            <w:pPr>
              <w:spacing w:line="200" w:lineRule="atLeast"/>
              <w:jc w:val="center"/>
              <w:rPr>
                <w:sz w:val="20"/>
                <w:szCs w:val="20"/>
              </w:rPr>
            </w:pPr>
            <w:r>
              <w:rPr>
                <w:sz w:val="20"/>
                <w:szCs w:val="20"/>
              </w:rPr>
              <w:t>560 (412 kW) a 1800 giri/min</w:t>
            </w:r>
          </w:p>
        </w:tc>
      </w:tr>
      <w:tr w:rsidR="00755A9F" w:rsidRPr="00A00B83" w14:paraId="08C232CA" w14:textId="77777777" w:rsidTr="009D5BB9">
        <w:trPr>
          <w:cantSplit/>
        </w:trPr>
        <w:tc>
          <w:tcPr>
            <w:tcW w:w="1125" w:type="pct"/>
            <w:tcBorders>
              <w:top w:val="single" w:sz="4" w:space="0" w:color="auto"/>
              <w:left w:val="single" w:sz="4" w:space="0" w:color="auto"/>
              <w:bottom w:val="single" w:sz="4" w:space="0" w:color="auto"/>
            </w:tcBorders>
          </w:tcPr>
          <w:p w14:paraId="7B94D67B" w14:textId="77777777" w:rsidR="00755A9F" w:rsidRPr="00A00B83" w:rsidRDefault="00755A9F" w:rsidP="009D5BB9">
            <w:pPr>
              <w:spacing w:line="200" w:lineRule="atLeast"/>
              <w:jc w:val="center"/>
              <w:rPr>
                <w:sz w:val="18"/>
                <w:szCs w:val="18"/>
              </w:rPr>
            </w:pPr>
            <w:r>
              <w:rPr>
                <w:sz w:val="18"/>
                <w:szCs w:val="18"/>
              </w:rPr>
              <w:t>Coppia max</w:t>
            </w:r>
          </w:p>
        </w:tc>
        <w:tc>
          <w:tcPr>
            <w:tcW w:w="967" w:type="pct"/>
            <w:tcBorders>
              <w:top w:val="single" w:sz="4" w:space="0" w:color="auto"/>
              <w:bottom w:val="single" w:sz="4" w:space="0" w:color="auto"/>
            </w:tcBorders>
          </w:tcPr>
          <w:p w14:paraId="17F51C8E" w14:textId="77777777" w:rsidR="00755A9F" w:rsidRPr="00A00B83" w:rsidRDefault="00755A9F" w:rsidP="009D5BB9">
            <w:pPr>
              <w:spacing w:line="200" w:lineRule="atLeast"/>
              <w:jc w:val="center"/>
              <w:rPr>
                <w:sz w:val="20"/>
                <w:szCs w:val="20"/>
              </w:rPr>
            </w:pPr>
            <w:r>
              <w:rPr>
                <w:sz w:val="20"/>
                <w:szCs w:val="20"/>
              </w:rPr>
              <w:t>2300 Nm a 900-1280 giri/min</w:t>
            </w:r>
          </w:p>
        </w:tc>
        <w:tc>
          <w:tcPr>
            <w:tcW w:w="971" w:type="pct"/>
            <w:tcBorders>
              <w:top w:val="single" w:sz="4" w:space="0" w:color="auto"/>
              <w:bottom w:val="single" w:sz="4" w:space="0" w:color="auto"/>
            </w:tcBorders>
          </w:tcPr>
          <w:p w14:paraId="31552E68" w14:textId="77777777" w:rsidR="00755A9F" w:rsidRPr="00A00B83" w:rsidRDefault="00755A9F" w:rsidP="009D5BB9">
            <w:pPr>
              <w:spacing w:line="200" w:lineRule="atLeast"/>
              <w:jc w:val="center"/>
              <w:rPr>
                <w:sz w:val="20"/>
                <w:szCs w:val="20"/>
              </w:rPr>
            </w:pPr>
            <w:r>
              <w:rPr>
                <w:sz w:val="20"/>
                <w:szCs w:val="20"/>
              </w:rPr>
              <w:t>2500 Nm a 900-1290 giri/min</w:t>
            </w:r>
          </w:p>
        </w:tc>
        <w:tc>
          <w:tcPr>
            <w:tcW w:w="969" w:type="pct"/>
            <w:tcBorders>
              <w:top w:val="single" w:sz="4" w:space="0" w:color="auto"/>
              <w:bottom w:val="single" w:sz="4" w:space="0" w:color="auto"/>
            </w:tcBorders>
          </w:tcPr>
          <w:p w14:paraId="2BE215D0" w14:textId="77777777" w:rsidR="00755A9F" w:rsidRPr="00A00B83" w:rsidRDefault="00755A9F" w:rsidP="009D5BB9">
            <w:pPr>
              <w:spacing w:line="200" w:lineRule="atLeast"/>
              <w:jc w:val="center"/>
              <w:rPr>
                <w:sz w:val="20"/>
                <w:szCs w:val="20"/>
              </w:rPr>
            </w:pPr>
            <w:r>
              <w:rPr>
                <w:sz w:val="20"/>
                <w:szCs w:val="20"/>
              </w:rPr>
              <w:t>2650 Nm a 900-1320 giri/min</w:t>
            </w:r>
          </w:p>
        </w:tc>
        <w:tc>
          <w:tcPr>
            <w:tcW w:w="968" w:type="pct"/>
            <w:tcBorders>
              <w:top w:val="single" w:sz="4" w:space="0" w:color="auto"/>
              <w:bottom w:val="single" w:sz="4" w:space="0" w:color="auto"/>
            </w:tcBorders>
          </w:tcPr>
          <w:p w14:paraId="1B6B91B9" w14:textId="77777777" w:rsidR="00755A9F" w:rsidRPr="00A00B83" w:rsidRDefault="00755A9F" w:rsidP="009D5BB9">
            <w:pPr>
              <w:spacing w:line="200" w:lineRule="atLeast"/>
              <w:jc w:val="center"/>
              <w:rPr>
                <w:sz w:val="20"/>
                <w:szCs w:val="20"/>
              </w:rPr>
            </w:pPr>
            <w:r>
              <w:rPr>
                <w:sz w:val="20"/>
                <w:szCs w:val="20"/>
              </w:rPr>
              <w:t>2800 Nm a 900-1400 giri/min</w:t>
            </w:r>
          </w:p>
        </w:tc>
      </w:tr>
    </w:tbl>
    <w:p w14:paraId="1D2314ED" w14:textId="77777777" w:rsidR="00755A9F" w:rsidRDefault="00755A9F" w:rsidP="00755A9F">
      <w:pPr>
        <w:spacing w:line="360" w:lineRule="auto"/>
      </w:pPr>
    </w:p>
    <w:p w14:paraId="65E67BA5" w14:textId="77777777" w:rsidR="00755A9F" w:rsidRPr="00755A9F" w:rsidRDefault="00755A9F" w:rsidP="00755A9F">
      <w:pPr>
        <w:spacing w:line="360" w:lineRule="auto"/>
        <w:rPr>
          <w:lang w:val="it-IT"/>
        </w:rPr>
      </w:pPr>
      <w:r w:rsidRPr="00755A9F">
        <w:rPr>
          <w:lang w:val="it-IT"/>
        </w:rPr>
        <w:t>**Disponibili anche nella versione alimentata a 100% biodiesel</w:t>
      </w:r>
    </w:p>
    <w:p w14:paraId="562267F2" w14:textId="77777777" w:rsidR="00755A9F" w:rsidRPr="00755A9F" w:rsidRDefault="00755A9F" w:rsidP="00755A9F">
      <w:pPr>
        <w:spacing w:line="360" w:lineRule="auto"/>
        <w:rPr>
          <w:lang w:val="it-IT"/>
        </w:rPr>
      </w:pPr>
    </w:p>
    <w:p w14:paraId="00FA8430" w14:textId="77777777" w:rsidR="00755A9F" w:rsidRPr="00755A9F" w:rsidRDefault="00755A9F" w:rsidP="00755A9F">
      <w:pPr>
        <w:rPr>
          <w:rStyle w:val="Enfasigrassetto"/>
          <w:sz w:val="22"/>
          <w:szCs w:val="22"/>
          <w:lang w:val="it-IT" w:eastAsia="sv-SE"/>
        </w:rPr>
      </w:pPr>
      <w:r w:rsidRPr="00755A9F">
        <w:rPr>
          <w:rStyle w:val="Enfasigrassetto"/>
          <w:sz w:val="22"/>
          <w:szCs w:val="22"/>
          <w:lang w:val="it-IT" w:eastAsia="sv-SE"/>
        </w:rPr>
        <w:t>Per ulteriori informazioni, contattare:</w:t>
      </w:r>
    </w:p>
    <w:p w14:paraId="25ADCDAD" w14:textId="77777777" w:rsidR="00755A9F" w:rsidRPr="00755A9F" w:rsidRDefault="00755A9F" w:rsidP="00755A9F">
      <w:pPr>
        <w:rPr>
          <w:rStyle w:val="Enfasigrassetto"/>
          <w:sz w:val="22"/>
          <w:szCs w:val="22"/>
          <w:lang w:val="it-IT" w:eastAsia="sv-SE"/>
        </w:rPr>
      </w:pPr>
      <w:r w:rsidRPr="00755A9F">
        <w:rPr>
          <w:rStyle w:val="Enfasigrassetto"/>
          <w:sz w:val="22"/>
          <w:szCs w:val="22"/>
          <w:lang w:val="it-IT" w:eastAsia="sv-SE"/>
        </w:rPr>
        <w:t>Martina Pellegrini, Relazioni Esterne e Stampa</w:t>
      </w:r>
    </w:p>
    <w:p w14:paraId="17B82E15" w14:textId="77777777" w:rsidR="00755A9F" w:rsidRDefault="00755A9F" w:rsidP="00755A9F">
      <w:r>
        <w:rPr>
          <w:rStyle w:val="Enfasigrassetto"/>
          <w:lang w:eastAsia="sv-SE"/>
        </w:rPr>
        <w:t xml:space="preserve">Phone: +39 </w:t>
      </w:r>
      <w:r>
        <w:rPr>
          <w:lang w:eastAsia="sv-SE"/>
        </w:rPr>
        <w:t>0461 996318</w:t>
      </w:r>
    </w:p>
    <w:p w14:paraId="0FCC9E81" w14:textId="77777777" w:rsidR="00755A9F" w:rsidRDefault="00755A9F" w:rsidP="00755A9F">
      <w:pPr>
        <w:rPr>
          <w:rStyle w:val="Enfasigrassetto"/>
          <w:b w:val="0"/>
          <w:bCs w:val="0"/>
        </w:rPr>
      </w:pPr>
      <w:r>
        <w:rPr>
          <w:lang w:eastAsia="sv-SE"/>
        </w:rPr>
        <w:t>Mobile: +39 348 6115185</w:t>
      </w:r>
    </w:p>
    <w:p w14:paraId="37E985E8" w14:textId="77777777" w:rsidR="00755A9F" w:rsidRDefault="00755A9F" w:rsidP="00755A9F">
      <w:pPr>
        <w:rPr>
          <w:color w:val="000000"/>
        </w:rPr>
      </w:pPr>
      <w:r>
        <w:rPr>
          <w:rStyle w:val="Enfasigrassetto"/>
          <w:sz w:val="22"/>
          <w:szCs w:val="22"/>
          <w:lang w:eastAsia="sv-SE"/>
        </w:rPr>
        <w:t>E-mail:</w:t>
      </w:r>
      <w:r>
        <w:rPr>
          <w:color w:val="000000"/>
        </w:rPr>
        <w:t xml:space="preserve"> </w:t>
      </w:r>
      <w:hyperlink r:id="rId9" w:history="1">
        <w:r>
          <w:rPr>
            <w:rStyle w:val="Collegamentoipertestuale"/>
          </w:rPr>
          <w:t>martina.pellegrini@scania.com</w:t>
        </w:r>
      </w:hyperlink>
    </w:p>
    <w:p w14:paraId="14C2D89B" w14:textId="77777777" w:rsidR="00755A9F" w:rsidRPr="0014481B" w:rsidRDefault="00755A9F" w:rsidP="00755A9F">
      <w:pPr>
        <w:spacing w:line="360" w:lineRule="auto"/>
      </w:pPr>
    </w:p>
    <w:p w14:paraId="3F3A1960" w14:textId="44A8852C" w:rsidR="001F0DD0" w:rsidRPr="00755A9F" w:rsidRDefault="001F0DD0" w:rsidP="00755A9F"/>
    <w:sectPr w:rsidR="001F0DD0" w:rsidRPr="00755A9F" w:rsidSect="00F4645C">
      <w:headerReference w:type="default" r:id="rId10"/>
      <w:footerReference w:type="default" r:id="rId11"/>
      <w:headerReference w:type="first" r:id="rId12"/>
      <w:footerReference w:type="first" r:id="rId13"/>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491" w14:textId="77777777" w:rsidR="00D7794B" w:rsidRDefault="00D7794B" w:rsidP="00C8301A">
      <w:r>
        <w:separator/>
      </w:r>
    </w:p>
  </w:endnote>
  <w:endnote w:type="continuationSeparator" w:id="0">
    <w:p w14:paraId="4146363F" w14:textId="77777777" w:rsidR="00D7794B" w:rsidRDefault="00D7794B"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Facebook.com/ScaniaItalia</w:t>
                          </w:r>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Instagram.com/scaniaitalia</w:t>
                          </w:r>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Youtube.com/user/Italscania1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Facebook.com/ScaniaItalia</w:t>
                                </w:r>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Instagram.com/scaniaitalia</w:t>
                                </w:r>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Youtube.com/user/Italscania1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93E2" w14:textId="77777777" w:rsidR="00D7794B" w:rsidRDefault="00D7794B" w:rsidP="00C8301A">
      <w:r>
        <w:separator/>
      </w:r>
    </w:p>
  </w:footnote>
  <w:footnote w:type="continuationSeparator" w:id="0">
    <w:p w14:paraId="2499C5E5" w14:textId="77777777" w:rsidR="00D7794B" w:rsidRDefault="00D7794B"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7736C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464"/>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55A9F"/>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0A3A"/>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755A9F"/>
    <w:rPr>
      <w:rFonts w:ascii="Arial" w:hAnsi="Arial" w:cs="Arial"/>
      <w:b/>
      <w:kern w:val="32"/>
      <w:sz w:val="32"/>
      <w:szCs w:val="32"/>
    </w:rPr>
  </w:style>
  <w:style w:type="paragraph" w:customStyle="1" w:styleId="Brdtxt">
    <w:name w:val="Brödtxt"/>
    <w:basedOn w:val="Normale"/>
    <w:uiPriority w:val="99"/>
    <w:rsid w:val="00755A9F"/>
    <w:pPr>
      <w:widowControl w:val="0"/>
      <w:autoSpaceDE w:val="0"/>
      <w:autoSpaceDN w:val="0"/>
      <w:adjustRightInd w:val="0"/>
      <w:ind w:right="1985"/>
    </w:pPr>
    <w:rPr>
      <w:lang w:val="it-IT"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pellegrini@scan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847</Words>
  <Characters>4801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Pellegrini Martina</cp:lastModifiedBy>
  <cp:revision>4</cp:revision>
  <cp:lastPrinted>2020-09-27T21:28:00Z</cp:lastPrinted>
  <dcterms:created xsi:type="dcterms:W3CDTF">2021-11-12T13:39:00Z</dcterms:created>
  <dcterms:modified xsi:type="dcterms:W3CDTF">2021-11-12T14:19:00Z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